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Rubrik"/>
      </w:pPr>
      <w:r>
        <w:rPr>
          <w:rtl w:val="0"/>
        </w:rPr>
        <w:t xml:space="preserve">Privacy Policy </w:t>
      </w:r>
      <w:r>
        <w:rPr>
          <w:rtl w:val="0"/>
        </w:rPr>
        <w:t xml:space="preserve">– </w:t>
      </w:r>
      <w:r>
        <w:rPr>
          <w:rtl w:val="0"/>
          <w:lang w:val="nl-NL"/>
        </w:rPr>
        <w:t>CasinoFeber Media Awards 2026</w:t>
      </w:r>
    </w:p>
    <w:p>
      <w:pPr>
        <w:pStyle w:val="Brödtext"/>
        <w:spacing w:after="160"/>
      </w:pPr>
      <w:r>
        <w:rPr>
          <w:rtl w:val="0"/>
          <w:lang w:val="en-US"/>
        </w:rPr>
        <w:t>This privacy policy explains how we process your personal data when you vote in the CasinoFeber Media Awards 2026 and take part in the prize draw. It supplements our general privacy policy, which applies to the rest of the website. If the two differ, this policy applies to the Awards and the Draw.</w:t>
      </w:r>
    </w:p>
    <w:p>
      <w:pPr>
        <w:pStyle w:val="Rubrik 2"/>
      </w:pPr>
      <w:r>
        <w:rPr>
          <w:rtl w:val="0"/>
          <w:lang w:val="it-IT"/>
        </w:rPr>
        <w:t>Data controller</w:t>
      </w:r>
    </w:p>
    <w:p>
      <w:pPr>
        <w:pStyle w:val="Brödtext"/>
        <w:spacing w:after="160"/>
      </w:pPr>
      <w:r>
        <w:rPr>
          <w:rtl w:val="0"/>
        </w:rPr>
        <w:t>Raketech Group Limited (</w:t>
      </w:r>
      <w:r>
        <w:rPr>
          <w:rtl w:val="1"/>
          <w:lang w:val="ar-SA" w:bidi="ar-SA"/>
        </w:rPr>
        <w:t>“</w:t>
      </w:r>
      <w:r>
        <w:rPr>
          <w:rtl w:val="0"/>
          <w:lang w:val="de-DE"/>
        </w:rPr>
        <w:t>Raketech</w:t>
      </w:r>
      <w:r>
        <w:rPr>
          <w:rtl w:val="0"/>
        </w:rPr>
        <w:t>”</w:t>
      </w:r>
      <w:r>
        <w:rPr>
          <w:rtl w:val="0"/>
        </w:rPr>
        <w:t xml:space="preserve">, </w:t>
      </w:r>
      <w:r>
        <w:rPr>
          <w:rtl w:val="1"/>
          <w:lang w:val="ar-SA" w:bidi="ar-SA"/>
        </w:rPr>
        <w:t>“</w:t>
      </w:r>
      <w:r>
        <w:rPr>
          <w:rtl w:val="0"/>
          <w:lang w:val="en-US"/>
        </w:rPr>
        <w:t>we</w:t>
      </w:r>
      <w:r>
        <w:rPr>
          <w:rtl w:val="0"/>
        </w:rPr>
        <w:t xml:space="preserve">” </w:t>
      </w:r>
      <w:r>
        <w:rPr>
          <w:rtl w:val="0"/>
        </w:rPr>
        <w:t xml:space="preserve">or </w:t>
      </w:r>
      <w:r>
        <w:rPr>
          <w:rtl w:val="1"/>
          <w:lang w:val="ar-SA" w:bidi="ar-SA"/>
        </w:rPr>
        <w:t>“</w:t>
      </w:r>
      <w:r>
        <w:rPr>
          <w:rtl w:val="0"/>
        </w:rPr>
        <w:t>us</w:t>
      </w:r>
      <w:r>
        <w:rPr>
          <w:rtl w:val="0"/>
        </w:rPr>
        <w:t>”</w:t>
      </w:r>
      <w:r>
        <w:rPr>
          <w:rtl w:val="0"/>
          <w:lang w:val="en-US"/>
        </w:rPr>
        <w:t xml:space="preserve">) is the data controller for the processing. You can contact us at </w:t>
      </w:r>
      <w:r>
        <w:rPr>
          <w:rStyle w:val="Hyperlink.0"/>
        </w:rPr>
        <w:fldChar w:fldCharType="begin" w:fldLock="0"/>
      </w:r>
      <w:r>
        <w:rPr>
          <w:rStyle w:val="Hyperlink.0"/>
        </w:rPr>
        <w:instrText xml:space="preserve"> HYPERLINK "mailto:mail@casinofeber.se"</w:instrText>
      </w:r>
      <w:r>
        <w:rPr>
          <w:rStyle w:val="Hyperlink.0"/>
        </w:rPr>
        <w:fldChar w:fldCharType="separate" w:fldLock="0"/>
      </w:r>
      <w:r>
        <w:rPr>
          <w:rStyle w:val="Hyperlink.0"/>
          <w:rtl w:val="0"/>
          <w:lang w:val="pt-PT"/>
        </w:rPr>
        <w:t>mail@casinofeber.se</w:t>
      </w:r>
      <w:r>
        <w:rPr/>
        <w:fldChar w:fldCharType="end" w:fldLock="0"/>
      </w:r>
      <w:r>
        <w:rPr>
          <w:rtl w:val="0"/>
        </w:rPr>
        <w:t>.</w:t>
      </w:r>
    </w:p>
    <w:p>
      <w:pPr>
        <w:pStyle w:val="Rubrik 2"/>
      </w:pPr>
      <w:r>
        <w:rPr>
          <w:rtl w:val="0"/>
          <w:lang w:val="en-US"/>
        </w:rPr>
        <w:t>What data we process and why</w:t>
      </w:r>
    </w:p>
    <w:tbl>
      <w:tblPr>
        <w:tblW w:w="9026"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ad1d7"/>
        <w:tblLayout w:type="fixed"/>
      </w:tblPr>
      <w:tblGrid>
        <w:gridCol w:w="2400"/>
        <w:gridCol w:w="2400"/>
        <w:gridCol w:w="2050"/>
        <w:gridCol w:w="2176"/>
      </w:tblGrid>
      <w:tr>
        <w:tblPrEx>
          <w:shd w:val="clear" w:color="auto" w:fill="156082"/>
        </w:tblPrEx>
        <w:trPr>
          <w:trHeight w:val="243" w:hRule="atLeast"/>
          <w:tblHeader/>
        </w:trPr>
        <w:tc>
          <w:tcPr>
            <w:tcW w:type="dxa" w:w="240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e8eef4"/>
            <w:tcMar>
              <w:top w:type="dxa" w:w="80"/>
              <w:left w:type="dxa" w:w="80"/>
              <w:bottom w:type="dxa" w:w="80"/>
              <w:right w:type="dxa" w:w="80"/>
            </w:tcMar>
            <w:vAlign w:val="top"/>
          </w:tcPr>
          <w:p>
            <w:pPr>
              <w:pStyle w:val="Brödtext"/>
            </w:pPr>
            <w:r>
              <w:rPr>
                <w:b w:val="1"/>
                <w:bCs w:val="1"/>
                <w:shd w:val="nil" w:color="auto" w:fill="auto"/>
                <w:rtl w:val="0"/>
                <w:lang w:val="en-US"/>
              </w:rPr>
              <w:t>Data</w:t>
            </w:r>
          </w:p>
        </w:tc>
        <w:tc>
          <w:tcPr>
            <w:tcW w:type="dxa" w:w="240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e8eef4"/>
            <w:tcMar>
              <w:top w:type="dxa" w:w="80"/>
              <w:left w:type="dxa" w:w="80"/>
              <w:bottom w:type="dxa" w:w="80"/>
              <w:right w:type="dxa" w:w="80"/>
            </w:tcMar>
            <w:vAlign w:val="top"/>
          </w:tcPr>
          <w:p>
            <w:pPr>
              <w:pStyle w:val="Brödtext"/>
            </w:pPr>
            <w:r>
              <w:rPr>
                <w:b w:val="1"/>
                <w:bCs w:val="1"/>
                <w:shd w:val="nil" w:color="auto" w:fill="auto"/>
                <w:rtl w:val="0"/>
                <w:lang w:val="en-US"/>
              </w:rPr>
              <w:t>Purpose</w:t>
            </w:r>
          </w:p>
        </w:tc>
        <w:tc>
          <w:tcPr>
            <w:tcW w:type="dxa" w:w="205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e8eef4"/>
            <w:tcMar>
              <w:top w:type="dxa" w:w="80"/>
              <w:left w:type="dxa" w:w="80"/>
              <w:bottom w:type="dxa" w:w="80"/>
              <w:right w:type="dxa" w:w="80"/>
            </w:tcMar>
            <w:vAlign w:val="top"/>
          </w:tcPr>
          <w:p>
            <w:pPr>
              <w:pStyle w:val="Brödtext"/>
            </w:pPr>
            <w:r>
              <w:rPr>
                <w:b w:val="1"/>
                <w:bCs w:val="1"/>
                <w:shd w:val="nil" w:color="auto" w:fill="auto"/>
                <w:rtl w:val="0"/>
                <w:lang w:val="en-US"/>
              </w:rPr>
              <w:t>Legal basis</w:t>
            </w:r>
          </w:p>
        </w:tc>
        <w:tc>
          <w:tcPr>
            <w:tcW w:type="dxa" w:w="2176"/>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e8eef4"/>
            <w:tcMar>
              <w:top w:type="dxa" w:w="80"/>
              <w:left w:type="dxa" w:w="80"/>
              <w:bottom w:type="dxa" w:w="80"/>
              <w:right w:type="dxa" w:w="80"/>
            </w:tcMar>
            <w:vAlign w:val="top"/>
          </w:tcPr>
          <w:p>
            <w:pPr>
              <w:pStyle w:val="Brödtext"/>
            </w:pPr>
            <w:r>
              <w:rPr>
                <w:b w:val="1"/>
                <w:bCs w:val="1"/>
                <w:shd w:val="nil" w:color="auto" w:fill="auto"/>
                <w:rtl w:val="0"/>
                <w:lang w:val="en-US"/>
              </w:rPr>
              <w:t>Retention</w:t>
            </w:r>
          </w:p>
        </w:tc>
      </w:tr>
      <w:tr>
        <w:tblPrEx>
          <w:shd w:val="clear" w:color="auto" w:fill="cad1d7"/>
        </w:tblPrEx>
        <w:trPr>
          <w:trHeight w:val="963" w:hRule="atLeast"/>
        </w:trPr>
        <w:tc>
          <w:tcPr>
            <w:tcW w:type="dxa" w:w="240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Brödtext"/>
            </w:pPr>
            <w:r>
              <w:rPr>
                <w:shd w:val="nil" w:color="auto" w:fill="auto"/>
                <w:rtl w:val="0"/>
                <w:lang w:val="en-US"/>
              </w:rPr>
              <w:t>Email address</w:t>
            </w:r>
          </w:p>
        </w:tc>
        <w:tc>
          <w:tcPr>
            <w:tcW w:type="dxa" w:w="240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Brödtext"/>
            </w:pPr>
            <w:r>
              <w:rPr>
                <w:shd w:val="nil" w:color="auto" w:fill="auto"/>
                <w:rtl w:val="0"/>
                <w:lang w:val="en-US"/>
              </w:rPr>
              <w:t>Sending the confirmation link and contacting the winner of the prize draw</w:t>
            </w:r>
          </w:p>
        </w:tc>
        <w:tc>
          <w:tcPr>
            <w:tcW w:type="dxa" w:w="205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Brödtext"/>
            </w:pPr>
            <w:r>
              <w:rPr>
                <w:shd w:val="nil" w:color="auto" w:fill="auto"/>
                <w:rtl w:val="0"/>
                <w:lang w:val="en-US"/>
              </w:rPr>
              <w:t>Performance of a contract (the Award terms and the Prize Draw terms)</w:t>
            </w:r>
          </w:p>
        </w:tc>
        <w:tc>
          <w:tcPr>
            <w:tcW w:type="dxa" w:w="2176"/>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Brödtext"/>
            </w:pPr>
            <w:r>
              <w:rPr>
                <w:shd w:val="nil" w:color="auto" w:fill="auto"/>
                <w:rtl w:val="0"/>
                <w:lang w:val="en-US"/>
              </w:rPr>
              <w:t>90 days after voting closes</w:t>
            </w:r>
          </w:p>
        </w:tc>
      </w:tr>
      <w:tr>
        <w:tblPrEx>
          <w:shd w:val="clear" w:color="auto" w:fill="cad1d7"/>
        </w:tblPrEx>
        <w:trPr>
          <w:trHeight w:val="963" w:hRule="atLeast"/>
        </w:trPr>
        <w:tc>
          <w:tcPr>
            <w:tcW w:type="dxa" w:w="240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Brödtext"/>
            </w:pPr>
            <w:r>
              <w:rPr>
                <w:shd w:val="nil" w:color="auto" w:fill="auto"/>
                <w:rtl w:val="0"/>
                <w:lang w:val="en-US"/>
              </w:rPr>
              <w:t>Email address</w:t>
            </w:r>
          </w:p>
        </w:tc>
        <w:tc>
          <w:tcPr>
            <w:tcW w:type="dxa" w:w="240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Brödtext"/>
            </w:pPr>
            <w:r>
              <w:rPr>
                <w:shd w:val="nil" w:color="auto" w:fill="auto"/>
                <w:rtl w:val="0"/>
                <w:lang w:val="en-US"/>
              </w:rPr>
              <w:t>Ensuring one vote per person</w:t>
            </w:r>
          </w:p>
        </w:tc>
        <w:tc>
          <w:tcPr>
            <w:tcW w:type="dxa" w:w="205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Brödtext"/>
            </w:pPr>
            <w:r>
              <w:rPr>
                <w:shd w:val="nil" w:color="auto" w:fill="auto"/>
                <w:rtl w:val="0"/>
                <w:lang w:val="en-US"/>
              </w:rPr>
              <w:t>Legitimate interest in protecting the integrity of the vote and the Draw</w:t>
            </w:r>
          </w:p>
        </w:tc>
        <w:tc>
          <w:tcPr>
            <w:tcW w:type="dxa" w:w="2176"/>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Brödtext"/>
            </w:pPr>
            <w:r>
              <w:rPr>
                <w:shd w:val="nil" w:color="auto" w:fill="auto"/>
                <w:rtl w:val="0"/>
                <w:lang w:val="en-US"/>
              </w:rPr>
              <w:t>90 days after voting closes</w:t>
            </w:r>
          </w:p>
        </w:tc>
      </w:tr>
      <w:tr>
        <w:tblPrEx>
          <w:shd w:val="clear" w:color="auto" w:fill="cad1d7"/>
        </w:tblPrEx>
        <w:trPr>
          <w:trHeight w:val="963" w:hRule="atLeast"/>
        </w:trPr>
        <w:tc>
          <w:tcPr>
            <w:tcW w:type="dxa" w:w="240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Brödtext"/>
            </w:pPr>
            <w:r>
              <w:rPr>
                <w:shd w:val="nil" w:color="auto" w:fill="auto"/>
                <w:rtl w:val="0"/>
                <w:lang w:val="en-US"/>
              </w:rPr>
              <w:t>IP address</w:t>
            </w:r>
          </w:p>
        </w:tc>
        <w:tc>
          <w:tcPr>
            <w:tcW w:type="dxa" w:w="240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Brödtext"/>
            </w:pPr>
            <w:r>
              <w:rPr>
                <w:shd w:val="nil" w:color="auto" w:fill="auto"/>
                <w:rtl w:val="0"/>
                <w:lang w:val="en-US"/>
              </w:rPr>
              <w:t>Preventing cheating and automated votes</w:t>
            </w:r>
          </w:p>
        </w:tc>
        <w:tc>
          <w:tcPr>
            <w:tcW w:type="dxa" w:w="205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Brödtext"/>
            </w:pPr>
            <w:r>
              <w:rPr>
                <w:shd w:val="nil" w:color="auto" w:fill="auto"/>
                <w:rtl w:val="0"/>
                <w:lang w:val="en-US"/>
              </w:rPr>
              <w:t>Legitimate interest in protecting the integrity of the vote and the Draw</w:t>
            </w:r>
          </w:p>
        </w:tc>
        <w:tc>
          <w:tcPr>
            <w:tcW w:type="dxa" w:w="2176"/>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Brödtext"/>
            </w:pPr>
            <w:r>
              <w:rPr>
                <w:shd w:val="nil" w:color="auto" w:fill="auto"/>
                <w:rtl w:val="0"/>
                <w:lang w:val="en-US"/>
              </w:rPr>
              <w:t>90 days after voting closes</w:t>
            </w:r>
          </w:p>
        </w:tc>
      </w:tr>
      <w:tr>
        <w:tblPrEx>
          <w:shd w:val="clear" w:color="auto" w:fill="cad1d7"/>
        </w:tblPrEx>
        <w:trPr>
          <w:trHeight w:val="1203" w:hRule="atLeast"/>
        </w:trPr>
        <w:tc>
          <w:tcPr>
            <w:tcW w:type="dxa" w:w="240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Brödtext"/>
            </w:pPr>
            <w:r>
              <w:rPr>
                <w:shd w:val="nil" w:color="auto" w:fill="auto"/>
                <w:rtl w:val="0"/>
                <w:lang w:val="en-US"/>
              </w:rPr>
              <w:t>Browser identifier (a one-way hashed summary of your browser</w:t>
            </w:r>
            <w:r>
              <w:rPr>
                <w:shd w:val="nil" w:color="auto" w:fill="auto"/>
                <w:rtl w:val="0"/>
                <w:lang w:val="en-US"/>
              </w:rPr>
              <w:t>’</w:t>
            </w:r>
            <w:r>
              <w:rPr>
                <w:shd w:val="nil" w:color="auto" w:fill="auto"/>
                <w:rtl w:val="0"/>
                <w:lang w:val="en-US"/>
              </w:rPr>
              <w:t>s technical details)</w:t>
            </w:r>
          </w:p>
        </w:tc>
        <w:tc>
          <w:tcPr>
            <w:tcW w:type="dxa" w:w="240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Brödtext"/>
            </w:pPr>
            <w:r>
              <w:rPr>
                <w:shd w:val="nil" w:color="auto" w:fill="auto"/>
                <w:rtl w:val="0"/>
                <w:lang w:val="en-US"/>
              </w:rPr>
              <w:t>Detecting multiple votes from the same browser</w:t>
            </w:r>
          </w:p>
        </w:tc>
        <w:tc>
          <w:tcPr>
            <w:tcW w:type="dxa" w:w="205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Brödtext"/>
            </w:pPr>
            <w:r>
              <w:rPr>
                <w:shd w:val="nil" w:color="auto" w:fill="auto"/>
                <w:rtl w:val="0"/>
                <w:lang w:val="en-US"/>
              </w:rPr>
              <w:t>Legitimate interest in protecting the integrity of the vote and the Draw</w:t>
            </w:r>
          </w:p>
        </w:tc>
        <w:tc>
          <w:tcPr>
            <w:tcW w:type="dxa" w:w="2176"/>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Brödtext"/>
            </w:pPr>
            <w:r>
              <w:rPr>
                <w:shd w:val="nil" w:color="auto" w:fill="auto"/>
                <w:rtl w:val="0"/>
                <w:lang w:val="en-US"/>
              </w:rPr>
              <w:t>90 days after voting closes</w:t>
            </w:r>
          </w:p>
        </w:tc>
      </w:tr>
      <w:tr>
        <w:tblPrEx>
          <w:shd w:val="clear" w:color="auto" w:fill="cad1d7"/>
        </w:tblPrEx>
        <w:trPr>
          <w:trHeight w:val="1203" w:hRule="atLeast"/>
        </w:trPr>
        <w:tc>
          <w:tcPr>
            <w:tcW w:type="dxa" w:w="240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Brödtext"/>
            </w:pPr>
            <w:r>
              <w:rPr>
                <w:shd w:val="nil" w:color="auto" w:fill="auto"/>
                <w:rtl w:val="0"/>
                <w:lang w:val="en-US"/>
              </w:rPr>
              <w:t>Time at which you accepted the terms and confirmed your age, and your newsletter choice</w:t>
            </w:r>
          </w:p>
        </w:tc>
        <w:tc>
          <w:tcPr>
            <w:tcW w:type="dxa" w:w="240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Brödtext"/>
            </w:pPr>
            <w:r>
              <w:rPr>
                <w:shd w:val="nil" w:color="auto" w:fill="auto"/>
                <w:rtl w:val="0"/>
                <w:lang w:val="en-US"/>
              </w:rPr>
              <w:t>Being able to show that the terms were accepted</w:t>
            </w:r>
          </w:p>
        </w:tc>
        <w:tc>
          <w:tcPr>
            <w:tcW w:type="dxa" w:w="205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Brödtext"/>
            </w:pPr>
            <w:r>
              <w:rPr>
                <w:shd w:val="nil" w:color="auto" w:fill="auto"/>
                <w:rtl w:val="0"/>
                <w:lang w:val="en-US"/>
              </w:rPr>
              <w:t>Legitimate interest in documenting acceptance</w:t>
            </w:r>
          </w:p>
        </w:tc>
        <w:tc>
          <w:tcPr>
            <w:tcW w:type="dxa" w:w="2176"/>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Brödtext"/>
            </w:pPr>
            <w:r>
              <w:rPr>
                <w:shd w:val="nil" w:color="auto" w:fill="auto"/>
                <w:rtl w:val="0"/>
                <w:lang w:val="en-US"/>
              </w:rPr>
              <w:t>Kept without any link to you after 90 days</w:t>
            </w:r>
          </w:p>
        </w:tc>
      </w:tr>
      <w:tr>
        <w:tblPrEx>
          <w:shd w:val="clear" w:color="auto" w:fill="cad1d7"/>
        </w:tblPrEx>
        <w:trPr>
          <w:trHeight w:val="723" w:hRule="atLeast"/>
        </w:trPr>
        <w:tc>
          <w:tcPr>
            <w:tcW w:type="dxa" w:w="240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Brödtext"/>
            </w:pPr>
            <w:r>
              <w:rPr>
                <w:shd w:val="nil" w:color="auto" w:fill="auto"/>
                <w:rtl w:val="0"/>
                <w:lang w:val="en-US"/>
              </w:rPr>
              <w:t>Your votes</w:t>
            </w:r>
          </w:p>
        </w:tc>
        <w:tc>
          <w:tcPr>
            <w:tcW w:type="dxa" w:w="240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Brödtext"/>
            </w:pPr>
            <w:r>
              <w:rPr>
                <w:shd w:val="nil" w:color="auto" w:fill="auto"/>
                <w:rtl w:val="0"/>
                <w:lang w:val="en-US"/>
              </w:rPr>
              <w:t>Calculating the results</w:t>
            </w:r>
          </w:p>
        </w:tc>
        <w:tc>
          <w:tcPr>
            <w:tcW w:type="dxa" w:w="205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Brödtext"/>
            </w:pPr>
            <w:r>
              <w:rPr>
                <w:shd w:val="nil" w:color="auto" w:fill="auto"/>
                <w:rtl w:val="0"/>
                <w:lang w:val="en-US"/>
              </w:rPr>
              <w:t>Performance of a contract (the Award terms)</w:t>
            </w:r>
          </w:p>
        </w:tc>
        <w:tc>
          <w:tcPr>
            <w:tcW w:type="dxa" w:w="2176"/>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Brödtext"/>
            </w:pPr>
            <w:r>
              <w:rPr>
                <w:shd w:val="nil" w:color="auto" w:fill="auto"/>
                <w:rtl w:val="0"/>
                <w:lang w:val="en-US"/>
              </w:rPr>
              <w:t>Kept without any link to you after 90 days</w:t>
            </w:r>
          </w:p>
        </w:tc>
      </w:tr>
      <w:tr>
        <w:tblPrEx>
          <w:shd w:val="clear" w:color="auto" w:fill="cad1d7"/>
        </w:tblPrEx>
        <w:trPr>
          <w:trHeight w:val="723" w:hRule="atLeast"/>
        </w:trPr>
        <w:tc>
          <w:tcPr>
            <w:tcW w:type="dxa" w:w="240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Brödtext"/>
            </w:pPr>
            <w:r>
              <w:rPr>
                <w:shd w:val="nil" w:color="auto" w:fill="auto"/>
                <w:rtl w:val="0"/>
                <w:lang w:val="en-US"/>
              </w:rPr>
              <w:t>Proof of identity and country of residence</w:t>
            </w:r>
          </w:p>
        </w:tc>
        <w:tc>
          <w:tcPr>
            <w:tcW w:type="dxa" w:w="240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Brödtext"/>
            </w:pPr>
            <w:r>
              <w:rPr>
                <w:shd w:val="nil" w:color="auto" w:fill="auto"/>
                <w:rtl w:val="0"/>
                <w:lang w:val="en-US"/>
              </w:rPr>
              <w:t>Check that winners of the Draw meet the eligibility rules</w:t>
            </w:r>
          </w:p>
        </w:tc>
        <w:tc>
          <w:tcPr>
            <w:tcW w:type="dxa" w:w="2050"/>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Brödtext"/>
            </w:pPr>
            <w:r>
              <w:rPr>
                <w:shd w:val="nil" w:color="auto" w:fill="auto"/>
                <w:rtl w:val="0"/>
                <w:lang w:val="en-US"/>
              </w:rPr>
              <w:t>Performance of a contract (the Prize Draw terms)</w:t>
            </w:r>
          </w:p>
        </w:tc>
        <w:tc>
          <w:tcPr>
            <w:tcW w:type="dxa" w:w="2176"/>
            <w:tcBorders>
              <w:top w:val="single" w:color="bfbfbf" w:sz="4" w:space="0" w:shadow="0" w:frame="0"/>
              <w:left w:val="single" w:color="bfbfbf" w:sz="4" w:space="0" w:shadow="0" w:frame="0"/>
              <w:bottom w:val="single" w:color="bfbfbf" w:sz="4" w:space="0" w:shadow="0" w:frame="0"/>
              <w:right w:val="single" w:color="bfbfbf" w:sz="4" w:space="0" w:shadow="0" w:frame="0"/>
            </w:tcBorders>
            <w:shd w:val="clear" w:color="auto" w:fill="auto"/>
            <w:tcMar>
              <w:top w:type="dxa" w:w="80"/>
              <w:left w:type="dxa" w:w="80"/>
              <w:bottom w:type="dxa" w:w="80"/>
              <w:right w:type="dxa" w:w="80"/>
            </w:tcMar>
            <w:vAlign w:val="top"/>
          </w:tcPr>
          <w:p>
            <w:pPr>
              <w:pStyle w:val="Brödtext"/>
            </w:pPr>
            <w:r>
              <w:rPr>
                <w:shd w:val="nil" w:color="auto" w:fill="auto"/>
                <w:rtl w:val="0"/>
                <w:lang w:val="en-US"/>
              </w:rPr>
              <w:t>90 days after the prize is delivered</w:t>
            </w:r>
          </w:p>
        </w:tc>
      </w:tr>
    </w:tbl>
    <w:p>
      <w:pPr>
        <w:pStyle w:val="Rubrik 2"/>
        <w:widowControl w:val="0"/>
      </w:pPr>
    </w:p>
    <w:p>
      <w:pPr>
        <w:pStyle w:val="Brödtext"/>
        <w:spacing w:after="120"/>
      </w:pPr>
    </w:p>
    <w:p>
      <w:pPr>
        <w:pStyle w:val="Brödtext"/>
        <w:spacing w:after="160"/>
      </w:pPr>
      <w:r>
        <w:rPr>
          <w:rtl w:val="0"/>
          <w:lang w:val="en-US"/>
        </w:rPr>
        <w:t>If you do not confirm your vote, your ballot is deleted automatically once the confirmation link has expired. 90 days after voting closes, your email address, IP address and browser identifier are removed from all ballots. Only the votes remain, with no link to you.</w:t>
      </w:r>
    </w:p>
    <w:p>
      <w:pPr>
        <w:pStyle w:val="Rubrik 2"/>
      </w:pPr>
      <w:r>
        <w:rPr>
          <w:rtl w:val="0"/>
        </w:rPr>
        <w:t>Newsletter</w:t>
      </w:r>
    </w:p>
    <w:p>
      <w:pPr>
        <w:pStyle w:val="Brödtext"/>
        <w:spacing w:after="160"/>
      </w:pPr>
      <w:r>
        <w:rPr>
          <w:rtl w:val="0"/>
          <w:lang w:val="en-US"/>
        </w:rPr>
        <w:t>If you choose to subscribe to the CasinoFeber Media newsletter, your email address is added to our newsletter system only after you have confirmed your vote. This processing is based on your consent and continues until you unsubscribe, which you can do at any time via the link in every newsletter. Your subscription is not affected by the removal of voting data after 90 days.</w:t>
      </w:r>
    </w:p>
    <w:p>
      <w:pPr>
        <w:pStyle w:val="Rubrik 2"/>
      </w:pPr>
      <w:r>
        <w:rPr>
          <w:rtl w:val="0"/>
          <w:lang w:val="en-US"/>
        </w:rPr>
        <w:t>Winner of the prize draw</w:t>
      </w:r>
    </w:p>
    <w:p>
      <w:pPr>
        <w:pStyle w:val="Brödtext"/>
        <w:spacing w:after="160"/>
      </w:pPr>
      <w:r>
        <w:rPr>
          <w:rtl w:val="0"/>
          <w:lang w:val="en-US"/>
        </w:rPr>
        <w:t>If you are selected as one of the five winners, your name, contact details and the information needed for the prize will be collected by Raketech directly from you, outside the website. This information is used to verify the winner</w:t>
      </w:r>
      <w:r>
        <w:rPr>
          <w:rtl w:val="1"/>
        </w:rPr>
        <w:t>’</w:t>
      </w:r>
      <w:r>
        <w:rPr>
          <w:rtl w:val="0"/>
          <w:lang w:val="en-US"/>
        </w:rPr>
        <w:t>s identity and age and to deliver the prize. It is kept for as long as necessary for that purpose and to meet legal requirements, such as accounting rules. The winner</w:t>
      </w:r>
      <w:r>
        <w:rPr>
          <w:rtl w:val="1"/>
        </w:rPr>
        <w:t>’</w:t>
      </w:r>
      <w:r>
        <w:rPr>
          <w:rtl w:val="0"/>
          <w:lang w:val="en-US"/>
        </w:rPr>
        <w:t>s name will not be published without their consent.</w:t>
      </w:r>
    </w:p>
    <w:p>
      <w:pPr>
        <w:pStyle w:val="Rubrik 2"/>
      </w:pPr>
      <w:r>
        <w:rPr>
          <w:rtl w:val="0"/>
          <w:lang w:val="en-US"/>
        </w:rPr>
        <w:t>Automated decision-making</w:t>
      </w:r>
    </w:p>
    <w:p>
      <w:pPr>
        <w:pStyle w:val="Brödtext"/>
        <w:spacing w:after="160"/>
      </w:pPr>
      <w:r>
        <w:rPr>
          <w:rtl w:val="0"/>
          <w:lang w:val="en-US"/>
        </w:rPr>
        <w:t>We do not make any decisions about you based solely on automated processing. Votes that our systems flag as suspicious are reviewed manually by the editorial team before any decision to exclude them.</w:t>
      </w:r>
    </w:p>
    <w:p>
      <w:pPr>
        <w:pStyle w:val="Rubrik 2"/>
      </w:pPr>
      <w:r>
        <w:rPr>
          <w:rtl w:val="0"/>
          <w:lang w:val="en-US"/>
        </w:rPr>
        <w:t>Who we share data with</w:t>
      </w:r>
    </w:p>
    <w:p>
      <w:pPr>
        <w:pStyle w:val="Brödtext"/>
        <w:spacing w:after="160"/>
      </w:pPr>
      <w:r>
        <w:rPr>
          <w:rtl w:val="0"/>
          <w:lang w:val="en-US"/>
        </w:rPr>
        <w:t>We use the following providers, which process data on our behalf and in accordance with our instructions:</w:t>
      </w:r>
    </w:p>
    <w:p>
      <w:pPr>
        <w:pStyle w:val="List Paragraph"/>
        <w:numPr>
          <w:ilvl w:val="0"/>
          <w:numId w:val="2"/>
        </w:numPr>
        <w:spacing w:after="60"/>
        <w:rPr>
          <w:lang w:val="en-US"/>
        </w:rPr>
      </w:pPr>
      <w:r>
        <w:rPr>
          <w:rtl w:val="0"/>
          <w:lang w:val="en-US"/>
        </w:rPr>
        <w:t xml:space="preserve">Microsoft </w:t>
      </w:r>
      <w:r>
        <w:rPr>
          <w:rtl w:val="0"/>
          <w:lang w:val="en-US"/>
        </w:rPr>
        <w:t xml:space="preserve">– </w:t>
      </w:r>
      <w:r>
        <w:rPr>
          <w:rtl w:val="0"/>
          <w:lang w:val="en-US"/>
        </w:rPr>
        <w:t>sending emails with confirmation links.</w:t>
      </w:r>
    </w:p>
    <w:p>
      <w:pPr>
        <w:pStyle w:val="List Paragraph"/>
        <w:numPr>
          <w:ilvl w:val="0"/>
          <w:numId w:val="2"/>
        </w:numPr>
        <w:spacing w:after="60"/>
        <w:rPr>
          <w:lang w:val="en-US"/>
        </w:rPr>
      </w:pPr>
      <w:r>
        <w:rPr>
          <w:rtl w:val="0"/>
          <w:lang w:val="en-US"/>
        </w:rPr>
        <w:t xml:space="preserve">Cloudflare </w:t>
      </w:r>
      <w:r>
        <w:rPr>
          <w:rtl w:val="0"/>
          <w:lang w:val="en-US"/>
        </w:rPr>
        <w:t xml:space="preserve">– </w:t>
      </w:r>
      <w:r>
        <w:rPr>
          <w:rtl w:val="0"/>
          <w:lang w:val="en-US"/>
        </w:rPr>
        <w:t>protection against automated votes (Turnstile), which processes your IP address and technical information about your browser.</w:t>
      </w:r>
    </w:p>
    <w:p>
      <w:pPr>
        <w:pStyle w:val="List Paragraph"/>
        <w:numPr>
          <w:ilvl w:val="0"/>
          <w:numId w:val="2"/>
        </w:numPr>
        <w:spacing w:after="60"/>
        <w:rPr>
          <w:lang w:val="en-US"/>
        </w:rPr>
      </w:pPr>
      <w:r>
        <w:rPr>
          <w:rtl w:val="0"/>
          <w:lang w:val="en-US"/>
        </w:rPr>
        <w:t xml:space="preserve">Braze </w:t>
      </w:r>
      <w:r>
        <w:rPr>
          <w:rtl w:val="0"/>
          <w:lang w:val="en-US"/>
        </w:rPr>
        <w:t xml:space="preserve">– </w:t>
      </w:r>
      <w:r>
        <w:rPr>
          <w:rtl w:val="0"/>
          <w:lang w:val="en-US"/>
        </w:rPr>
        <w:t>newsletter, only if you have chosen to subscribe.</w:t>
      </w:r>
    </w:p>
    <w:p>
      <w:pPr>
        <w:pStyle w:val="List Paragraph"/>
        <w:numPr>
          <w:ilvl w:val="0"/>
          <w:numId w:val="2"/>
        </w:numPr>
        <w:spacing w:after="60"/>
        <w:rPr>
          <w:lang w:val="en-US"/>
        </w:rPr>
      </w:pPr>
      <w:r>
        <w:rPr>
          <w:rtl w:val="0"/>
          <w:lang w:val="en-US"/>
        </w:rPr>
        <w:t>Providers of website operations and hosting.</w:t>
      </w:r>
    </w:p>
    <w:p>
      <w:pPr>
        <w:pStyle w:val="Brödtext"/>
        <w:spacing w:after="160"/>
      </w:pPr>
      <w:r>
        <w:rPr>
          <w:rtl w:val="0"/>
          <w:lang w:val="en-US"/>
        </w:rPr>
        <w:t>The winner</w:t>
      </w:r>
      <w:r>
        <w:rPr>
          <w:rtl w:val="1"/>
        </w:rPr>
        <w:t>’</w:t>
      </w:r>
      <w:r>
        <w:rPr>
          <w:rtl w:val="0"/>
          <w:lang w:val="en-US"/>
        </w:rPr>
        <w:t>s data may be shared with the partners needed to arrange the prize, for example Amazon.</w:t>
      </w:r>
    </w:p>
    <w:p>
      <w:pPr>
        <w:pStyle w:val="Brödtext"/>
        <w:spacing w:after="160"/>
      </w:pPr>
      <w:r>
        <w:rPr>
          <w:rtl w:val="0"/>
          <w:lang w:val="en-US"/>
        </w:rPr>
        <w:t>Some providers may process data outside the EU/EEA. In such cases, we ensure that the transfer is supported by the General Data Protection Regulation, for example through the European Commission</w:t>
      </w:r>
      <w:r>
        <w:rPr>
          <w:rtl w:val="1"/>
        </w:rPr>
        <w:t>’</w:t>
      </w:r>
      <w:r>
        <w:rPr>
          <w:rtl w:val="0"/>
          <w:lang w:val="en-US"/>
        </w:rPr>
        <w:t>s Standard Contractual Clauses or the EU</w:t>
      </w:r>
      <w:r>
        <w:rPr>
          <w:rtl w:val="0"/>
        </w:rPr>
        <w:t>–</w:t>
      </w:r>
      <w:r>
        <w:rPr>
          <w:rtl w:val="0"/>
          <w:lang w:val="en-US"/>
        </w:rPr>
        <w:t>US Data Privacy Framework.</w:t>
      </w:r>
    </w:p>
    <w:p>
      <w:pPr>
        <w:pStyle w:val="Rubrik 2"/>
      </w:pPr>
      <w:r>
        <w:rPr>
          <w:rtl w:val="0"/>
          <w:lang w:val="en-US"/>
        </w:rPr>
        <w:t>Third-party links and services</w:t>
      </w:r>
    </w:p>
    <w:p>
      <w:pPr>
        <w:pStyle w:val="Brödtext"/>
        <w:spacing w:after="160"/>
      </w:pPr>
      <w:r>
        <w:rPr>
          <w:rtl w:val="0"/>
          <w:lang w:val="en-US"/>
        </w:rPr>
        <w:t>The Awards pages and communications about the CasinoFeber Media Awards 2026 and its prize draw may contain links to websites and services run by third parties. These include: the websites of nominated operators; social media platforms such as LinkedIn and X; and support services such as St</w:t>
      </w:r>
      <w:r>
        <w:rPr>
          <w:rtl w:val="0"/>
          <w:lang w:val="sv-SE"/>
        </w:rPr>
        <w:t>ö</w:t>
      </w:r>
      <w:r>
        <w:rPr>
          <w:rtl w:val="0"/>
        </w:rPr>
        <w:t>dlinjen and Spelpaus.</w:t>
      </w:r>
    </w:p>
    <w:p>
      <w:pPr>
        <w:pStyle w:val="Brödtext"/>
        <w:spacing w:after="160"/>
      </w:pPr>
      <w:r>
        <w:rPr>
          <w:rtl w:val="0"/>
          <w:lang w:val="en-US"/>
        </w:rPr>
        <w:t>This privacy policy does not cover personal data collected by third-party websites or services, including through cookies and other tracking technologies. We do not control those websites or how they handle personal data. Each has its own privacy policy, which we recommend you read before you give them any personal data.</w:t>
      </w:r>
    </w:p>
    <w:p>
      <w:pPr>
        <w:pStyle w:val="Rubrik 2"/>
      </w:pPr>
      <w:r>
        <w:rPr>
          <w:rtl w:val="0"/>
          <w:lang w:val="en-US"/>
        </w:rPr>
        <w:t>Your rights</w:t>
      </w:r>
    </w:p>
    <w:p>
      <w:pPr>
        <w:pStyle w:val="Brödtext"/>
        <w:spacing w:after="160"/>
      </w:pPr>
      <w:r>
        <w:rPr>
          <w:rtl w:val="0"/>
          <w:lang w:val="en-US"/>
        </w:rPr>
        <w:t>You have the right to:</w:t>
      </w:r>
    </w:p>
    <w:p>
      <w:pPr>
        <w:pStyle w:val="List Paragraph"/>
        <w:numPr>
          <w:ilvl w:val="0"/>
          <w:numId w:val="2"/>
        </w:numPr>
        <w:spacing w:after="60"/>
        <w:rPr>
          <w:lang w:val="en-US"/>
        </w:rPr>
      </w:pPr>
      <w:r>
        <w:rPr>
          <w:rtl w:val="0"/>
          <w:lang w:val="en-US"/>
        </w:rPr>
        <w:t>access the personal data we hold about you,</w:t>
      </w:r>
    </w:p>
    <w:p>
      <w:pPr>
        <w:pStyle w:val="List Paragraph"/>
        <w:numPr>
          <w:ilvl w:val="0"/>
          <w:numId w:val="2"/>
        </w:numPr>
        <w:spacing w:after="60"/>
        <w:rPr>
          <w:lang w:val="en-US"/>
        </w:rPr>
      </w:pPr>
      <w:r>
        <w:rPr>
          <w:rtl w:val="0"/>
          <w:lang w:val="en-US"/>
        </w:rPr>
        <w:t>have inaccurate data corrected,</w:t>
      </w:r>
    </w:p>
    <w:p>
      <w:pPr>
        <w:pStyle w:val="List Paragraph"/>
        <w:numPr>
          <w:ilvl w:val="0"/>
          <w:numId w:val="2"/>
        </w:numPr>
        <w:spacing w:after="60"/>
        <w:rPr>
          <w:lang w:val="en-US"/>
        </w:rPr>
      </w:pPr>
      <w:r>
        <w:rPr>
          <w:rtl w:val="0"/>
          <w:lang w:val="en-US"/>
        </w:rPr>
        <w:t>have your data erased,</w:t>
      </w:r>
    </w:p>
    <w:p>
      <w:pPr>
        <w:pStyle w:val="List Paragraph"/>
        <w:numPr>
          <w:ilvl w:val="0"/>
          <w:numId w:val="2"/>
        </w:numPr>
        <w:spacing w:after="60"/>
        <w:rPr>
          <w:lang w:val="en-US"/>
        </w:rPr>
      </w:pPr>
      <w:r>
        <w:rPr>
          <w:rtl w:val="0"/>
          <w:lang w:val="en-US"/>
        </w:rPr>
        <w:t>request that processing be restricted,</w:t>
      </w:r>
    </w:p>
    <w:p>
      <w:pPr>
        <w:pStyle w:val="List Paragraph"/>
        <w:numPr>
          <w:ilvl w:val="0"/>
          <w:numId w:val="2"/>
        </w:numPr>
        <w:spacing w:after="60"/>
        <w:rPr>
          <w:lang w:val="en-US"/>
        </w:rPr>
      </w:pPr>
      <w:r>
        <w:rPr>
          <w:rtl w:val="0"/>
          <w:lang w:val="en-US"/>
        </w:rPr>
        <w:t>object to processing based on legitimate interest,</w:t>
      </w:r>
    </w:p>
    <w:p>
      <w:pPr>
        <w:pStyle w:val="List Paragraph"/>
        <w:numPr>
          <w:ilvl w:val="0"/>
          <w:numId w:val="2"/>
        </w:numPr>
        <w:spacing w:after="60"/>
        <w:rPr>
          <w:lang w:val="en-US"/>
        </w:rPr>
      </w:pPr>
      <w:r>
        <w:rPr>
          <w:rtl w:val="0"/>
          <w:lang w:val="en-US"/>
        </w:rPr>
        <w:t>receive data you have provided yourself in a machine-readable format (data portability), and</w:t>
      </w:r>
    </w:p>
    <w:p>
      <w:pPr>
        <w:pStyle w:val="List Paragraph"/>
        <w:numPr>
          <w:ilvl w:val="0"/>
          <w:numId w:val="2"/>
        </w:numPr>
        <w:spacing w:after="60"/>
        <w:rPr>
          <w:lang w:val="en-US"/>
        </w:rPr>
      </w:pPr>
      <w:r>
        <w:rPr>
          <w:rtl w:val="0"/>
          <w:lang w:val="en-US"/>
        </w:rPr>
        <w:t>withdraw your consent at any time, for example to the newsletter.</w:t>
      </w:r>
    </w:p>
    <w:p>
      <w:pPr>
        <w:pStyle w:val="Brödtext"/>
        <w:spacing w:after="160"/>
      </w:pPr>
      <w:r>
        <w:rPr>
          <w:rtl w:val="0"/>
          <w:lang w:val="en-US"/>
        </w:rPr>
        <w:t xml:space="preserve">Please note that if your data is erased before the prize draw, your ballot can no longer take part in the draw. A vote that has already been confirmed will, however, remain part of the results without any link to you. Contact us at </w:t>
      </w:r>
      <w:r>
        <w:rPr>
          <w:rStyle w:val="Hyperlink.0"/>
        </w:rPr>
        <w:fldChar w:fldCharType="begin" w:fldLock="0"/>
      </w:r>
      <w:r>
        <w:rPr>
          <w:rStyle w:val="Hyperlink.0"/>
        </w:rPr>
        <w:instrText xml:space="preserve"> HYPERLINK "mailto:mail@casinofeber.se"</w:instrText>
      </w:r>
      <w:r>
        <w:rPr>
          <w:rStyle w:val="Hyperlink.0"/>
        </w:rPr>
        <w:fldChar w:fldCharType="separate" w:fldLock="0"/>
      </w:r>
      <w:r>
        <w:rPr>
          <w:rStyle w:val="Hyperlink.0"/>
          <w:rtl w:val="0"/>
          <w:lang w:val="pt-PT"/>
        </w:rPr>
        <w:t>mail@casinofeber.se</w:t>
      </w:r>
      <w:r>
        <w:rPr/>
        <w:fldChar w:fldCharType="end" w:fldLock="0"/>
      </w:r>
      <w:r>
        <w:rPr>
          <w:rtl w:val="0"/>
          <w:lang w:val="en-US"/>
        </w:rPr>
        <w:t xml:space="preserve"> if you wish to exercise your rights.</w:t>
      </w:r>
    </w:p>
    <w:p>
      <w:pPr>
        <w:pStyle w:val="Rubrik 2"/>
      </w:pPr>
      <w:r>
        <w:rPr>
          <w:rtl w:val="0"/>
          <w:lang w:val="en-US"/>
        </w:rPr>
        <w:t>Complaints</w:t>
      </w:r>
    </w:p>
    <w:p>
      <w:pPr>
        <w:pStyle w:val="Brödtext"/>
        <w:spacing w:after="160"/>
      </w:pPr>
      <w:r>
        <w:rPr>
          <w:rtl w:val="0"/>
          <w:lang w:val="en-US"/>
        </w:rPr>
        <w:t xml:space="preserve">If you believe we are processing your personal data incorrectly, you have the right to lodge a complaint with the Swedish Authority for Privacy Protection (Integritetsskyddsmyndigheten, IMY), </w:t>
      </w:r>
      <w:r>
        <w:rPr>
          <w:rStyle w:val="Hyperlink.0"/>
        </w:rPr>
        <w:fldChar w:fldCharType="begin" w:fldLock="0"/>
      </w:r>
      <w:r>
        <w:rPr>
          <w:rStyle w:val="Hyperlink.0"/>
        </w:rPr>
        <w:instrText xml:space="preserve"> HYPERLINK "https://www.imy.se"</w:instrText>
      </w:r>
      <w:r>
        <w:rPr>
          <w:rStyle w:val="Hyperlink.0"/>
        </w:rPr>
        <w:fldChar w:fldCharType="separate" w:fldLock="0"/>
      </w:r>
      <w:r>
        <w:rPr>
          <w:rStyle w:val="Hyperlink.0"/>
          <w:rtl w:val="0"/>
        </w:rPr>
        <w:t>www.imy.se</w:t>
      </w:r>
      <w:r>
        <w:rPr/>
        <w:fldChar w:fldCharType="end" w:fldLock="0"/>
      </w:r>
      <w:r>
        <w:rPr>
          <w:rtl w:val="0"/>
        </w:rPr>
        <w:t>.</w:t>
      </w:r>
    </w:p>
    <w:p>
      <w:pPr>
        <w:pStyle w:val="Brödtext"/>
        <w:spacing w:after="160"/>
      </w:pPr>
      <w:r>
        <w:rPr>
          <w:rtl w:val="0"/>
          <w:lang w:val="en-US"/>
        </w:rPr>
        <w:t>Last update: 30 October 2026</w:t>
      </w:r>
    </w:p>
    <w:sectPr>
      <w:headerReference w:type="default" r:id="rId4"/>
      <w:footerReference w:type="default" r:id="rId5"/>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pto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Sidhuvud och sidfot"/>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Sidhuvud och sidfot"/>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rade stilen 1"/>
  </w:abstractNum>
  <w:abstractNum w:abstractNumId="1">
    <w:multiLevelType w:val="hybridMultilevel"/>
    <w:styleLink w:val="Importerade stilen 1"/>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trackRevisions/>
  <w:defaultTabStop w:val="720"/>
  <w:autoHyphenation w:val="0"/>
  <w:evenAndOddHeaders w:val="0"/>
  <w:bookFoldPrinting w:val="0"/>
  <w:noLineBreaksAfter w:lang="svenska" w:val="‘“(〔[{〈《「『【⦅〘〖«〝︵︷︹︻︽︿﹁﹃﹇﹙﹛﹝｢"/>
  <w:noLineBreaksBefore w:lang="svenska"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Sidhuvud och sidfot">
    <w:name w:val="Sidhuvud och sidfot"/>
    <w:next w:val="Sidhuvud och sidfot"/>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Rubrik">
    <w:name w:val="Rubrik"/>
    <w:next w:val="Rubrik"/>
    <w:pPr>
      <w:keepNext w:val="0"/>
      <w:keepLines w:val="0"/>
      <w:pageBreakBefore w:val="0"/>
      <w:widowControl w:val="1"/>
      <w:shd w:val="clear" w:color="auto" w:fill="auto"/>
      <w:suppressAutoHyphens w:val="0"/>
      <w:bidi w:val="0"/>
      <w:spacing w:before="0" w:after="240" w:line="240" w:lineRule="auto"/>
      <w:ind w:left="0" w:right="0" w:firstLine="0"/>
      <w:jc w:val="left"/>
      <w:outlineLvl w:val="0"/>
    </w:pPr>
    <w:rPr>
      <w:rFonts w:ascii="Arial" w:cs="Arial Unicode MS" w:hAnsi="Arial" w:eastAsia="Arial Unicode MS"/>
      <w:b w:val="1"/>
      <w:bCs w:val="1"/>
      <w:i w:val="0"/>
      <w:iCs w:val="0"/>
      <w:caps w:val="0"/>
      <w:smallCaps w:val="0"/>
      <w:strike w:val="0"/>
      <w:dstrike w:val="0"/>
      <w:outline w:val="0"/>
      <w:color w:val="1f3864"/>
      <w:spacing w:val="0"/>
      <w:kern w:val="0"/>
      <w:position w:val="0"/>
      <w:sz w:val="34"/>
      <w:szCs w:val="34"/>
      <w:u w:val="none" w:color="1f3864"/>
      <w:shd w:val="nil" w:color="auto" w:fill="auto"/>
      <w:vertAlign w:val="baseline"/>
      <w14:textOutline>
        <w14:noFill/>
      </w14:textOutline>
      <w14:textFill>
        <w14:solidFill>
          <w14:srgbClr w14:val="1F3864"/>
        </w14:solidFill>
      </w14:textFill>
    </w:rPr>
  </w:style>
  <w:style w:type="paragraph" w:styleId="Brödtext">
    <w:name w:val="Brödtext"/>
    <w:next w:val="Brödtex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1"/>
      <w:szCs w:val="21"/>
      <w:u w:val="none" w:color="000000"/>
      <w:shd w:val="nil" w:color="auto" w:fill="auto"/>
      <w:vertAlign w:val="baseline"/>
      <w:lang w:val="en-US"/>
      <w14:textOutline>
        <w14:noFill/>
      </w14:textOutline>
      <w14:textFill>
        <w14:solidFill>
          <w14:srgbClr w14:val="000000"/>
        </w14:solidFill>
      </w14:textFill>
    </w:rPr>
  </w:style>
  <w:style w:type="paragraph" w:styleId="Rubrik 2">
    <w:name w:val="Rubrik 2"/>
    <w:next w:val="Rubrik 2"/>
    <w:pPr>
      <w:keepNext w:val="0"/>
      <w:keepLines w:val="0"/>
      <w:pageBreakBefore w:val="0"/>
      <w:widowControl w:val="1"/>
      <w:shd w:val="clear" w:color="auto" w:fill="auto"/>
      <w:suppressAutoHyphens w:val="0"/>
      <w:bidi w:val="0"/>
      <w:spacing w:before="280" w:after="120" w:line="240" w:lineRule="auto"/>
      <w:ind w:left="0" w:right="0" w:firstLine="0"/>
      <w:jc w:val="left"/>
      <w:outlineLvl w:val="1"/>
    </w:pPr>
    <w:rPr>
      <w:rFonts w:ascii="Arial" w:cs="Arial Unicode MS" w:hAnsi="Arial" w:eastAsia="Arial Unicode MS"/>
      <w:b w:val="1"/>
      <w:bCs w:val="1"/>
      <w:i w:val="0"/>
      <w:iCs w:val="0"/>
      <w:caps w:val="0"/>
      <w:smallCaps w:val="0"/>
      <w:strike w:val="0"/>
      <w:dstrike w:val="0"/>
      <w:outline w:val="0"/>
      <w:color w:val="1f3864"/>
      <w:spacing w:val="0"/>
      <w:kern w:val="0"/>
      <w:position w:val="0"/>
      <w:sz w:val="25"/>
      <w:szCs w:val="25"/>
      <w:u w:val="none" w:color="1f3864"/>
      <w:shd w:val="nil" w:color="auto" w:fill="auto"/>
      <w:vertAlign w:val="baseline"/>
      <w:lang w:val="it-IT"/>
      <w14:textOutline>
        <w14:noFill/>
      </w14:textOutline>
      <w14:textFill>
        <w14:solidFill>
          <w14:srgbClr w14:val="1F3864"/>
        </w14:solidFill>
      </w14:textFill>
    </w:rPr>
  </w:style>
  <w:style w:type="character" w:styleId="Hyperlink.0">
    <w:name w:val="Hyperlink.0"/>
    <w:basedOn w:val="Hyperlink"/>
    <w:next w:val="Hyperlink.0"/>
    <w:rPr>
      <w:outline w:val="0"/>
      <w:color w:val="0563c1"/>
      <w:u w:val="single" w:color="0563c1"/>
      <w14:textFill>
        <w14:solidFill>
          <w14:srgbClr w14:val="0563C1"/>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1"/>
      <w:szCs w:val="21"/>
      <w:u w:val="none" w:color="000000"/>
      <w:shd w:val="nil" w:color="auto" w:fill="auto"/>
      <w:vertAlign w:val="baseline"/>
      <w:lang w:val="en-US"/>
      <w14:textFill>
        <w14:solidFill>
          <w14:srgbClr w14:val="000000"/>
        </w14:solidFill>
      </w14:textFill>
    </w:rPr>
  </w:style>
  <w:style w:type="numbering" w:styleId="Importerade stilen 1">
    <w:name w:val="Importerade stilen 1"/>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905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905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